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 xml:space="preserve">„Ubezpieczenie odpowiedzialności cywilnej (OC) oraz następstw nieszczęśliwych wypadków (NNW) dla osób świadczących usługę Asystenta osobistego osoby niepełnosprawnej ” edycja 2023.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23 stycznia 2023 w pkt III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224b0"/>
    <w:pPr>
      <w:spacing w:lineRule="auto" w:line="276" w:before="0" w:after="140"/>
    </w:pPr>
    <w:rPr/>
  </w:style>
  <w:style w:type="paragraph" w:styleId="Lista">
    <w:name w:val="List"/>
    <w:basedOn w:val="Tretekstu"/>
    <w:rsid w:val="00c224b0"/>
    <w:pPr/>
    <w:rPr/>
  </w:style>
  <w:style w:type="paragraph" w:styleId="Podpis" w:customStyle="1">
    <w:name w:val="Caption"/>
    <w:basedOn w:val="Normal"/>
    <w:qFormat/>
    <w:rsid w:val="00c224b0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c224b0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c22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LibreOffice/7.4.1.2$Windows_X86_64 LibreOffice_project/3c58a8f3a960df8bc8fd77b461821e42c061c5f0</Application>
  <AppVersion>15.0000</AppVersion>
  <Pages>1</Pages>
  <Words>131</Words>
  <Characters>960</Characters>
  <CharactersWithSpaces>1257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2023-01-23T12:13:51Z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